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AE2E1">
      <w:pPr>
        <w:ind w:left="-141" w:leftChars="-67" w:right="-143" w:rightChars="-68"/>
        <w:jc w:val="distribute"/>
        <w:outlineLvl w:val="0"/>
        <w:rPr>
          <w:rFonts w:ascii="方正小标宋简体" w:eastAsia="方正小标宋简体"/>
          <w:color w:val="FF0000"/>
          <w:spacing w:val="20"/>
          <w:w w:val="55"/>
          <w:sz w:val="144"/>
          <w:szCs w:val="144"/>
          <w:highlight w:val="none"/>
        </w:rPr>
      </w:pPr>
      <w:r>
        <w:rPr>
          <w:rFonts w:hint="eastAsia" w:ascii="方正小标宋简体" w:eastAsia="方正小标宋简体"/>
          <w:color w:val="FF0000"/>
          <w:spacing w:val="20"/>
          <w:w w:val="55"/>
          <w:sz w:val="144"/>
          <w:szCs w:val="144"/>
          <w:highlight w:val="none"/>
        </w:rPr>
        <w:t>滕州市医疗保障局文件</w:t>
      </w:r>
    </w:p>
    <w:p w14:paraId="464ABD5B">
      <w:pPr>
        <w:ind w:left="-141" w:leftChars="-67" w:right="-143" w:rightChars="-68"/>
        <w:jc w:val="center"/>
        <w:outlineLvl w:val="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滕医保发〔202</w:t>
      </w:r>
      <w:r>
        <w:rPr>
          <w:rFonts w:hint="eastAsia" w:ascii="仿宋_GB2312" w:hAnsi="仿宋_GB2312" w:eastAsia="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号</w:t>
      </w:r>
    </w:p>
    <w:p w14:paraId="48AE7F68">
      <w:pPr>
        <w:jc w:val="center"/>
        <w:rPr>
          <w:rFonts w:ascii="Calibri" w:hAnsi="Calibri"/>
          <w:szCs w:val="22"/>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-120015</wp:posOffset>
                </wp:positionH>
                <wp:positionV relativeFrom="paragraph">
                  <wp:posOffset>285115</wp:posOffset>
                </wp:positionV>
                <wp:extent cx="5615940" cy="0"/>
                <wp:effectExtent l="0" t="13970" r="3810" b="241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left:-9.45pt;margin-top:22.45pt;height:0pt;width:442.2pt;z-index:251659264;mso-width-relative:page;mso-height-relative:page;" filled="f" stroked="t" coordsize="21600,21600" o:gfxdata="UEsDBAoAAAAAAIdO4kAAAAAAAAAAAAAAAAAEAAAAZHJzL1BLAwQUAAAACACHTuJApzFfk9cAAAAJ&#10;AQAADwAAAGRycy9kb3ducmV2LnhtbE2PwU7DMAyG70i8Q2QkblvaaZtK13QCBDckRIHtmjWmqdY4&#10;VZN13dtjxAFOlu1Pvz8X28l1YsQhtJ4UpPMEBFLtTUuNgo/351kGIkRNRneeUMEFA2zL66tC58af&#10;6Q3HKjaCQyjkWoGNsc+lDLVFp8Pc90i8+/KD05HboZFm0GcOd51cJMlaOt0SX7C6x0eL9bE6OQXT&#10;Lru3+5f48OQ/X+1x2lduXFyUur1Jkw2IiFP8g+FHn9WhZKeDP5EJolMwS7M7RhUsl1wZyNarFYjD&#10;70CWhfz/QfkNUEsDBBQAAAAIAIdO4kBRk/Td7AEAALkDAAAOAAAAZHJzL2Uyb0RvYy54bWytU72O&#10;EzEQ7pF4B8s92U1EjmOVzRWJQnNApDsewPF6sxa2x/I42eQleAEkOqgo6e9tOB6DsfPDcTRXsIXl&#10;8cx8M983s5OrnTVsqwJqcDUfDkrOlJPQaLeu+YfbxYtLzjAK1wgDTtV8r5BfTZ8/m/S+UiPowDQq&#10;MAJxWPW+5l2MvioKlJ2yAgfglSNnC8GKSGZYF00QPaFbU4zK8qLoITQ+gFSI9Do/OPkRMTwFENpW&#10;SzUHubHKxQNqUEZEooSd9sinudu2VTK+b1tUkZmaE9OYTypC91U6i+lEVOsgfKflsQXxlBYecbJC&#10;Oyp6hpqLKNgm6H+grJYBENo4kGCLA5GsCLEYlo+0uemEV5kLSY3+LDr+P1j5brsMTDc1H3HmhKWB&#10;33/+8fPT1193X+i8//6NjZJIvceKYmduGRJNuXM3/hrkR2QOZp1wa5Wbvd17QhimjOKvlGSgp1Kr&#10;/i00FCM2EbJiuzbYBElasF0ezP48GLWLTNLj+GI4fv2SZiZPvkJUp0QfML5RYFm61NxolzQTldhe&#10;Y0yNiOoUkp4dLLQxee7GsZ6IX45fjXMGgtFN8qY4DOvVzAS2FbQ6i0VJX6ZFnodhATauOVQxLuWp&#10;vHXH0ifaBwFX0OyX4aQNTTQ3d9y+tDIP7azgnz9u+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n&#10;MV+T1wAAAAkBAAAPAAAAAAAAAAEAIAAAACIAAABkcnMvZG93bnJldi54bWxQSwECFAAUAAAACACH&#10;TuJAUZP03ewBAAC5AwAADgAAAAAAAAABACAAAAAmAQAAZHJzL2Uyb0RvYy54bWxQSwUGAAAAAAYA&#10;BgBZAQAAhAUAAAAA&#10;">
                <v:fill on="f" focussize="0,0"/>
                <v:stroke weight="2.25pt" color="#FF0000" joinstyle="round"/>
                <v:imagedata o:title=""/>
                <o:lock v:ext="edit" aspectratio="f"/>
              </v:line>
            </w:pict>
          </mc:Fallback>
        </mc:AlternateContent>
      </w:r>
    </w:p>
    <w:p w14:paraId="543EB900">
      <w:pPr>
        <w:widowControl/>
        <w:spacing w:line="600" w:lineRule="exact"/>
        <w:jc w:val="both"/>
        <w:rPr>
          <w:rFonts w:ascii="方正小标宋简体" w:hAnsi="宋体" w:eastAsia="方正小标宋简体"/>
          <w:bCs/>
          <w:sz w:val="44"/>
          <w:szCs w:val="44"/>
          <w:highlight w:val="none"/>
        </w:rPr>
      </w:pPr>
    </w:p>
    <w:p w14:paraId="3139B859">
      <w:pPr>
        <w:pStyle w:val="3"/>
        <w:rPr>
          <w:highlight w:val="none"/>
        </w:rPr>
      </w:pPr>
    </w:p>
    <w:p w14:paraId="7B451E0F">
      <w:pPr>
        <w:widowControl/>
        <w:spacing w:line="600" w:lineRule="exact"/>
        <w:jc w:val="center"/>
        <w:rPr>
          <w:highlight w:val="none"/>
        </w:rPr>
      </w:pPr>
      <w:r>
        <w:rPr>
          <w:rFonts w:hint="eastAsia" w:ascii="方正小标宋简体" w:hAnsi="宋体" w:eastAsia="方正小标宋简体"/>
          <w:bCs/>
          <w:sz w:val="44"/>
          <w:szCs w:val="44"/>
          <w:highlight w:val="none"/>
        </w:rPr>
        <w:t>关于印发《2024年度滕州市医疗保障宣传工作方案》的通知</w:t>
      </w:r>
    </w:p>
    <w:p w14:paraId="1C88947D">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_GB2312" w:hAnsi="仿宋" w:eastAsia="仿宋_GB2312" w:cs="宋体"/>
          <w:sz w:val="32"/>
          <w:szCs w:val="32"/>
          <w:highlight w:val="none"/>
        </w:rPr>
      </w:pPr>
    </w:p>
    <w:p w14:paraId="069C951B">
      <w:pPr>
        <w:keepNext w:val="0"/>
        <w:keepLines w:val="0"/>
        <w:pageBreakBefore w:val="0"/>
        <w:widowControl/>
        <w:kinsoku/>
        <w:overflowPunct/>
        <w:topLinePunct w:val="0"/>
        <w:autoSpaceDE/>
        <w:autoSpaceDN/>
        <w:bidi w:val="0"/>
        <w:adjustRightInd/>
        <w:snapToGrid/>
        <w:spacing w:line="600" w:lineRule="exact"/>
        <w:jc w:val="left"/>
        <w:textAlignment w:val="auto"/>
        <w:rPr>
          <w:rFonts w:hint="eastAsia" w:ascii="仿宋_GB2312" w:hAnsi="仿宋" w:eastAsia="仿宋_GB2312" w:cs="宋体"/>
          <w:color w:val="auto"/>
          <w:sz w:val="32"/>
          <w:szCs w:val="32"/>
          <w:highlight w:val="none"/>
          <w:lang w:val="en-US" w:eastAsia="zh-CN"/>
        </w:rPr>
      </w:pPr>
      <w:r>
        <w:rPr>
          <w:rFonts w:hint="eastAsia" w:ascii="仿宋_GB2312" w:hAnsi="仿宋" w:eastAsia="仿宋_GB2312" w:cs="宋体"/>
          <w:color w:val="auto"/>
          <w:sz w:val="32"/>
          <w:szCs w:val="32"/>
          <w:highlight w:val="none"/>
          <w:lang w:val="en-US" w:eastAsia="zh-CN"/>
        </w:rPr>
        <w:t>机关各科室，市医疗保险事业中心、市医疗保险基金稽核中心，各镇（街道）医保办：</w:t>
      </w:r>
    </w:p>
    <w:p w14:paraId="02C727D9">
      <w:pPr>
        <w:keepNext w:val="0"/>
        <w:keepLines w:val="0"/>
        <w:pageBreakBefore w:val="0"/>
        <w:widowControl/>
        <w:kinsoku/>
        <w:overflowPunct/>
        <w:topLinePunct w:val="0"/>
        <w:autoSpaceDE/>
        <w:autoSpaceDN/>
        <w:bidi w:val="0"/>
        <w:adjustRightInd/>
        <w:snapToGrid/>
        <w:spacing w:line="600" w:lineRule="exact"/>
        <w:ind w:firstLine="640" w:firstLineChars="200"/>
        <w:jc w:val="left"/>
        <w:textAlignment w:val="auto"/>
        <w:rPr>
          <w:rFonts w:hint="eastAsia" w:ascii="仿宋_GB2312" w:hAnsi="仿宋" w:eastAsia="仿宋_GB2312" w:cs="宋体"/>
          <w:color w:val="auto"/>
          <w:sz w:val="32"/>
          <w:szCs w:val="32"/>
          <w:highlight w:val="none"/>
        </w:rPr>
      </w:pPr>
      <w:r>
        <w:rPr>
          <w:rFonts w:hint="eastAsia" w:ascii="仿宋_GB2312" w:hAnsi="仿宋" w:eastAsia="仿宋_GB2312" w:cs="宋体"/>
          <w:color w:val="auto"/>
          <w:sz w:val="32"/>
          <w:szCs w:val="32"/>
          <w:highlight w:val="none"/>
        </w:rPr>
        <w:t>现将《2024年度滕州市医疗保障宣传工作方案》印发给你们，请结合实际</w:t>
      </w:r>
      <w:r>
        <w:rPr>
          <w:rFonts w:hint="eastAsia" w:ascii="仿宋_GB2312" w:hAnsi="仿宋" w:eastAsia="仿宋_GB2312" w:cs="宋体"/>
          <w:color w:val="auto"/>
          <w:sz w:val="32"/>
          <w:szCs w:val="32"/>
          <w:highlight w:val="none"/>
          <w:lang w:eastAsia="zh-CN"/>
        </w:rPr>
        <w:t>，</w:t>
      </w:r>
      <w:r>
        <w:rPr>
          <w:rFonts w:hint="eastAsia" w:ascii="仿宋_GB2312" w:hAnsi="仿宋" w:eastAsia="仿宋_GB2312" w:cs="宋体"/>
          <w:color w:val="auto"/>
          <w:sz w:val="32"/>
          <w:szCs w:val="32"/>
          <w:highlight w:val="none"/>
        </w:rPr>
        <w:t>认真抓好贯彻落实。</w:t>
      </w:r>
    </w:p>
    <w:p w14:paraId="3BA1AB99">
      <w:pPr>
        <w:widowControl/>
        <w:spacing w:line="600" w:lineRule="exact"/>
        <w:ind w:firstLine="640" w:firstLineChars="200"/>
        <w:jc w:val="left"/>
        <w:rPr>
          <w:rFonts w:ascii="仿宋_GB2312" w:eastAsia="仿宋_GB2312" w:cs="宋体"/>
          <w:sz w:val="32"/>
          <w:szCs w:val="32"/>
          <w:highlight w:val="none"/>
        </w:rPr>
      </w:pPr>
      <w:bookmarkStart w:id="0" w:name="_GoBack"/>
      <w:bookmarkEnd w:id="0"/>
    </w:p>
    <w:p w14:paraId="04378CC0">
      <w:pPr>
        <w:widowControl/>
        <w:spacing w:line="600" w:lineRule="exact"/>
        <w:ind w:firstLine="640" w:firstLineChars="200"/>
        <w:jc w:val="left"/>
        <w:rPr>
          <w:rFonts w:ascii="仿宋_GB2312" w:eastAsia="仿宋_GB2312" w:cs="宋体"/>
          <w:sz w:val="32"/>
          <w:szCs w:val="32"/>
          <w:highlight w:val="none"/>
        </w:rPr>
      </w:pPr>
    </w:p>
    <w:p w14:paraId="534D6D93">
      <w:pPr>
        <w:widowControl/>
        <w:wordWrap w:val="0"/>
        <w:spacing w:line="240" w:lineRule="auto"/>
        <w:ind w:firstLine="640" w:firstLineChars="200"/>
        <w:jc w:val="center"/>
        <w:outlineLvl w:val="0"/>
        <w:rPr>
          <w:rFonts w:ascii="仿宋_GB2312" w:hAnsi="仿宋" w:eastAsia="仿宋_GB2312" w:cs="宋体"/>
          <w:sz w:val="32"/>
          <w:szCs w:val="32"/>
          <w:highlight w:val="none"/>
        </w:rPr>
      </w:pPr>
      <w:r>
        <w:rPr>
          <w:rFonts w:hint="eastAsia" w:ascii="仿宋_GB2312" w:hAnsi="仿宋" w:eastAsia="仿宋_GB2312" w:cs="宋体"/>
          <w:sz w:val="32"/>
          <w:szCs w:val="32"/>
          <w:highlight w:val="none"/>
          <w:lang w:val="en-US" w:eastAsia="zh-CN"/>
        </w:rPr>
        <w:t xml:space="preserve">                            </w:t>
      </w:r>
      <w:r>
        <w:rPr>
          <w:rFonts w:hint="eastAsia" w:ascii="仿宋_GB2312" w:hAnsi="仿宋" w:eastAsia="仿宋_GB2312" w:cs="宋体"/>
          <w:sz w:val="32"/>
          <w:szCs w:val="32"/>
          <w:highlight w:val="none"/>
        </w:rPr>
        <w:t xml:space="preserve">滕州市医疗保障局 </w:t>
      </w:r>
    </w:p>
    <w:p w14:paraId="31B6A2F0">
      <w:pPr>
        <w:widowControl/>
        <w:wordWrap w:val="0"/>
        <w:spacing w:line="600" w:lineRule="exact"/>
        <w:ind w:firstLine="640" w:firstLineChars="200"/>
        <w:jc w:val="center"/>
        <w:outlineLvl w:val="0"/>
        <w:rPr>
          <w:rFonts w:hint="eastAsia" w:ascii="仿宋_GB2312" w:hAnsi="仿宋" w:eastAsia="仿宋_GB2312" w:cs="宋体"/>
          <w:sz w:val="32"/>
          <w:szCs w:val="32"/>
          <w:highlight w:val="none"/>
        </w:rPr>
      </w:pPr>
      <w:r>
        <w:rPr>
          <w:rFonts w:hint="eastAsia" w:ascii="仿宋_GB2312" w:eastAsia="仿宋_GB2312" w:cs="宋体"/>
          <w:sz w:val="32"/>
          <w:szCs w:val="32"/>
          <w:highlight w:val="none"/>
          <w:lang w:val="en-US" w:eastAsia="zh-CN"/>
        </w:rPr>
        <w:t xml:space="preserve">                             </w:t>
      </w:r>
      <w:r>
        <w:rPr>
          <w:rFonts w:hint="eastAsia" w:ascii="仿宋_GB2312" w:eastAsia="仿宋_GB2312" w:cs="宋体"/>
          <w:sz w:val="32"/>
          <w:szCs w:val="32"/>
          <w:highlight w:val="none"/>
        </w:rPr>
        <w:t>202</w:t>
      </w:r>
      <w:r>
        <w:rPr>
          <w:rFonts w:hint="eastAsia" w:ascii="仿宋_GB2312" w:eastAsia="仿宋_GB2312" w:cs="宋体"/>
          <w:sz w:val="32"/>
          <w:szCs w:val="32"/>
          <w:highlight w:val="none"/>
          <w:lang w:val="en-US" w:eastAsia="zh-CN"/>
        </w:rPr>
        <w:t>4</w:t>
      </w:r>
      <w:r>
        <w:rPr>
          <w:rFonts w:hint="eastAsia" w:ascii="仿宋_GB2312" w:hAnsi="仿宋" w:eastAsia="仿宋_GB2312" w:cs="宋体"/>
          <w:sz w:val="32"/>
          <w:szCs w:val="32"/>
          <w:highlight w:val="none"/>
        </w:rPr>
        <w:t>年</w:t>
      </w:r>
      <w:r>
        <w:rPr>
          <w:rFonts w:hint="eastAsia" w:ascii="仿宋_GB2312" w:hAnsi="仿宋" w:eastAsia="仿宋_GB2312" w:cs="宋体"/>
          <w:sz w:val="32"/>
          <w:szCs w:val="32"/>
          <w:highlight w:val="none"/>
          <w:lang w:val="en-US" w:eastAsia="zh-CN"/>
        </w:rPr>
        <w:t>4</w:t>
      </w:r>
      <w:r>
        <w:rPr>
          <w:rFonts w:hint="eastAsia" w:ascii="仿宋_GB2312" w:hAnsi="仿宋" w:eastAsia="仿宋_GB2312" w:cs="宋体"/>
          <w:sz w:val="32"/>
          <w:szCs w:val="32"/>
          <w:highlight w:val="none"/>
        </w:rPr>
        <w:t>月</w:t>
      </w:r>
      <w:r>
        <w:rPr>
          <w:rFonts w:hint="eastAsia" w:ascii="仿宋_GB2312" w:hAnsi="仿宋" w:eastAsia="仿宋_GB2312" w:cs="宋体"/>
          <w:sz w:val="32"/>
          <w:szCs w:val="32"/>
          <w:highlight w:val="none"/>
          <w:lang w:val="en-US" w:eastAsia="zh-CN"/>
        </w:rPr>
        <w:t>23</w:t>
      </w:r>
      <w:r>
        <w:rPr>
          <w:rFonts w:hint="eastAsia" w:ascii="仿宋_GB2312" w:hAnsi="仿宋" w:eastAsia="仿宋_GB2312" w:cs="宋体"/>
          <w:sz w:val="32"/>
          <w:szCs w:val="32"/>
          <w:highlight w:val="none"/>
        </w:rPr>
        <w:t xml:space="preserve">日  </w:t>
      </w:r>
    </w:p>
    <w:p w14:paraId="243B1C9C">
      <w:pPr>
        <w:rPr>
          <w:rFonts w:hint="eastAsia" w:ascii="仿宋_GB2312" w:hAnsi="仿宋" w:eastAsia="仿宋_GB2312" w:cs="宋体"/>
          <w:sz w:val="32"/>
          <w:szCs w:val="32"/>
          <w:highlight w:val="none"/>
        </w:rPr>
      </w:pPr>
      <w:r>
        <w:rPr>
          <w:rFonts w:hint="eastAsia" w:ascii="仿宋_GB2312" w:hAnsi="仿宋" w:eastAsia="仿宋_GB2312" w:cs="宋体"/>
          <w:sz w:val="32"/>
          <w:szCs w:val="32"/>
          <w:highlight w:val="none"/>
        </w:rPr>
        <w:br w:type="page"/>
      </w:r>
    </w:p>
    <w:p w14:paraId="42822904">
      <w:pPr>
        <w:pStyle w:val="2"/>
        <w:keepNext w:val="0"/>
        <w:keepLines w:val="0"/>
        <w:pageBreakBefore w:val="0"/>
        <w:tabs>
          <w:tab w:val="right" w:leader="dot" w:pos="9060"/>
        </w:tabs>
        <w:kinsoku/>
        <w:wordWrap/>
        <w:overflowPunct/>
        <w:topLinePunct w:val="0"/>
        <w:autoSpaceDE/>
        <w:autoSpaceDN/>
        <w:bidi w:val="0"/>
        <w:adjustRightInd w:val="0"/>
        <w:snapToGrid w:val="0"/>
        <w:spacing w:after="0" w:line="600" w:lineRule="exact"/>
        <w:jc w:val="center"/>
        <w:textAlignment w:val="auto"/>
        <w:rPr>
          <w:rFonts w:hint="eastAsia" w:ascii="方正小标宋简体" w:hAnsi="方正小标宋简体" w:eastAsia="方正小标宋简体" w:cs="方正小标宋简体"/>
          <w:i w:val="0"/>
          <w:iCs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i w:val="0"/>
          <w:iCs w:val="0"/>
          <w:caps w:val="0"/>
          <w:color w:val="auto"/>
          <w:spacing w:val="0"/>
          <w:kern w:val="0"/>
          <w:sz w:val="44"/>
          <w:szCs w:val="44"/>
          <w:shd w:val="clear" w:fill="FFFFFF"/>
          <w:lang w:val="en-US" w:eastAsia="zh-CN" w:bidi="ar"/>
        </w:rPr>
        <w:t>2024年度滕州市医疗保障宣传工作方案</w:t>
      </w:r>
    </w:p>
    <w:p w14:paraId="1E03DA60">
      <w:pPr>
        <w:pStyle w:val="2"/>
        <w:keepNext w:val="0"/>
        <w:keepLines w:val="0"/>
        <w:pageBreakBefore w:val="0"/>
        <w:tabs>
          <w:tab w:val="right" w:leader="dot" w:pos="9060"/>
        </w:tabs>
        <w:kinsoku/>
        <w:wordWrap/>
        <w:overflowPunct/>
        <w:topLinePunct w:val="0"/>
        <w:autoSpaceDE/>
        <w:autoSpaceDN/>
        <w:bidi w:val="0"/>
        <w:adjustRightInd w:val="0"/>
        <w:snapToGrid w:val="0"/>
        <w:spacing w:after="0" w:line="600" w:lineRule="exac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521B357E">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为进一步加强我市医疗保障宣传工作，广泛提高社会各界对医保政策的知晓度和满意度，积极营造良好社会舆论氛围，确保我市医疗保障各项工作有效推进，特制定医保宣传工作方案。</w:t>
      </w:r>
    </w:p>
    <w:p w14:paraId="197CA295">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黑体" w:hAnsi="黑体" w:eastAsia="黑体" w:cs="黑体"/>
          <w:i w:val="0"/>
          <w:iCs w:val="0"/>
          <w:caps w:val="0"/>
          <w:color w:val="auto"/>
          <w:spacing w:val="0"/>
          <w:kern w:val="0"/>
          <w:sz w:val="32"/>
          <w:szCs w:val="32"/>
          <w:shd w:val="clear" w:fill="FFFFFF"/>
          <w:lang w:val="en-US" w:eastAsia="zh-CN" w:bidi="ar"/>
        </w:rPr>
      </w:pPr>
      <w:r>
        <w:rPr>
          <w:rFonts w:hint="eastAsia" w:ascii="黑体" w:hAnsi="黑体" w:eastAsia="黑体" w:cs="黑体"/>
          <w:i w:val="0"/>
          <w:iCs w:val="0"/>
          <w:caps w:val="0"/>
          <w:color w:val="auto"/>
          <w:spacing w:val="0"/>
          <w:kern w:val="0"/>
          <w:sz w:val="32"/>
          <w:szCs w:val="32"/>
          <w:shd w:val="clear" w:fill="FFFFFF"/>
          <w:lang w:val="en-US" w:eastAsia="zh-CN" w:bidi="ar"/>
        </w:rPr>
        <w:t>一、指导思想</w:t>
      </w:r>
    </w:p>
    <w:p w14:paraId="7438217B">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2024年是新中国成立75周年，是实现“十四五”规划目标任务的关键一年。全市医疗保障宣传工作要坚持以习近平新时代中国特色社会主义思想为指导，深入贯彻落实党的二十大精神，紧紧围绕国家、省、市决策部署，针对参保群众政策需求，多形式、多渠道开展政策宣传，推动医保政策进机关、进企业、进校园、进机构、进村居，实现政策全覆盖，为推动全市医疗保障事业高质量发展打下坚实基础。</w:t>
      </w:r>
    </w:p>
    <w:p w14:paraId="769C1AFE">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黑体" w:hAnsi="黑体" w:eastAsia="黑体" w:cs="黑体"/>
          <w:i w:val="0"/>
          <w:iCs w:val="0"/>
          <w:caps w:val="0"/>
          <w:color w:val="auto"/>
          <w:spacing w:val="0"/>
          <w:kern w:val="0"/>
          <w:sz w:val="32"/>
          <w:szCs w:val="32"/>
          <w:shd w:val="clear" w:fill="FFFFFF"/>
          <w:lang w:val="en-US" w:eastAsia="zh-CN" w:bidi="ar"/>
        </w:rPr>
      </w:pPr>
      <w:r>
        <w:rPr>
          <w:rFonts w:hint="eastAsia" w:ascii="黑体" w:hAnsi="黑体" w:eastAsia="黑体" w:cs="黑体"/>
          <w:i w:val="0"/>
          <w:iCs w:val="0"/>
          <w:caps w:val="0"/>
          <w:color w:val="auto"/>
          <w:spacing w:val="0"/>
          <w:kern w:val="0"/>
          <w:sz w:val="32"/>
          <w:szCs w:val="32"/>
          <w:shd w:val="clear" w:fill="FFFFFF"/>
          <w:lang w:val="en-US" w:eastAsia="zh-CN" w:bidi="ar"/>
        </w:rPr>
        <w:t>二、任务目标</w:t>
      </w:r>
    </w:p>
    <w:p w14:paraId="7D7BC4F6">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聚焦医疗保障重点工作和重大改革，畅通服务渠道,用好用活线上宣传方式，定期开展集中宣传月、集中宣传日及其他专项宣传活动，促进宣传工作常态化。建立长效宣传工作机制，通过宣传医保部门出台的医保惠民政策、医保经办服务流程、医保工作动态及工作亮点、创新做法, 提高群众对医疗保障政策知晓度、满意度，形成人人关心医保、人人知晓政策的良好社会氛围。</w:t>
      </w:r>
    </w:p>
    <w:p w14:paraId="3DDEED4C">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黑体" w:hAnsi="黑体" w:eastAsia="黑体" w:cs="黑体"/>
          <w:i w:val="0"/>
          <w:iCs w:val="0"/>
          <w:caps w:val="0"/>
          <w:color w:val="auto"/>
          <w:spacing w:val="0"/>
          <w:kern w:val="0"/>
          <w:sz w:val="32"/>
          <w:szCs w:val="32"/>
          <w:shd w:val="clear" w:fill="FFFFFF"/>
          <w:lang w:val="en-US" w:eastAsia="zh-CN" w:bidi="ar"/>
        </w:rPr>
      </w:pPr>
      <w:r>
        <w:rPr>
          <w:rFonts w:hint="eastAsia" w:ascii="黑体" w:hAnsi="黑体" w:eastAsia="黑体" w:cs="黑体"/>
          <w:i w:val="0"/>
          <w:iCs w:val="0"/>
          <w:caps w:val="0"/>
          <w:color w:val="auto"/>
          <w:spacing w:val="0"/>
          <w:kern w:val="0"/>
          <w:sz w:val="32"/>
          <w:szCs w:val="32"/>
          <w:shd w:val="clear" w:fill="FFFFFF"/>
          <w:lang w:val="en-US" w:eastAsia="zh-CN" w:bidi="ar"/>
        </w:rPr>
        <w:t>三、宣传内容</w:t>
      </w:r>
    </w:p>
    <w:p w14:paraId="6D6CA495">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（一）党的路线方针。</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重点宣传党的二十大提出的一系列新思想新观点新论断，党的二十届二中、三中全会精神，全国</w:t>
      </w:r>
      <w:r>
        <w:rPr>
          <w:rFonts w:hint="default" w:ascii="仿宋_GB2312" w:hAnsi="仿宋_GB2312" w:eastAsia="仿宋_GB2312" w:cs="仿宋_GB2312"/>
          <w:i w:val="0"/>
          <w:iCs w:val="0"/>
          <w:caps w:val="0"/>
          <w:color w:val="auto"/>
          <w:spacing w:val="0"/>
          <w:kern w:val="0"/>
          <w:sz w:val="32"/>
          <w:szCs w:val="32"/>
          <w:shd w:val="clear" w:fill="FFFFFF"/>
          <w:lang w:val="en-US" w:eastAsia="zh-CN" w:bidi="ar"/>
        </w:rPr>
        <w:t>两会精神，中央经济工作会议精神。习近平总书记</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视察枣庄重要讲话精神，以及</w:t>
      </w:r>
      <w:r>
        <w:rPr>
          <w:rFonts w:hint="default" w:ascii="仿宋_GB2312" w:hAnsi="仿宋_GB2312" w:eastAsia="仿宋_GB2312" w:cs="仿宋_GB2312"/>
          <w:i w:val="0"/>
          <w:iCs w:val="0"/>
          <w:caps w:val="0"/>
          <w:color w:val="auto"/>
          <w:spacing w:val="0"/>
          <w:kern w:val="0"/>
          <w:sz w:val="32"/>
          <w:szCs w:val="32"/>
          <w:shd w:val="clear" w:fill="FFFFFF"/>
          <w:lang w:val="en-US" w:eastAsia="zh-CN" w:bidi="ar"/>
        </w:rPr>
        <w:t>关于推动高质量发展、站稳人民立场、加强党的建设、全面从严治党、推进自我革命、落实意识形态、发扬斗争精神等方面</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的</w:t>
      </w:r>
      <w:r>
        <w:rPr>
          <w:rFonts w:hint="default" w:ascii="仿宋_GB2312" w:hAnsi="仿宋_GB2312" w:eastAsia="仿宋_GB2312" w:cs="仿宋_GB2312"/>
          <w:i w:val="0"/>
          <w:iCs w:val="0"/>
          <w:caps w:val="0"/>
          <w:color w:val="auto"/>
          <w:spacing w:val="0"/>
          <w:kern w:val="0"/>
          <w:sz w:val="32"/>
          <w:szCs w:val="32"/>
          <w:shd w:val="clear" w:fill="FFFFFF"/>
          <w:lang w:val="en-US" w:eastAsia="zh-CN" w:bidi="ar"/>
        </w:rPr>
        <w:t>重要论述。</w:t>
      </w:r>
    </w:p>
    <w:p w14:paraId="311F6AEC">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（二）医疗保障政策。</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宣传医保征缴、医保报销、医疗救助、慢特病认定、异地就医结算、长护保险、基金监管等惠民政策，发布医保经办业务办理途径、流程和标准，提高社会公众对医保政策和经办服务的知晓率。</w:t>
      </w:r>
    </w:p>
    <w:p w14:paraId="37ACF7DD">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（三）有关法律法规。</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宣传《社会保险法》《医疗保障基金使用监督管理条例》等有关法律法规，对典型案例进行集中曝光，强化欺诈骗保警示教育和震慑作用，引导经办机构、医药机构、参保人员合法合规使用医保基金。</w:t>
      </w:r>
    </w:p>
    <w:p w14:paraId="5BA2B406">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（四）先进工作典型。</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弘扬正气，凝聚力量，发掘并宣传在医疗保障领域涌现的先进典型，鼓励镇（街道）医保办、定点医药机构、商保机构等部门（单位），踊跃提供医疗保障相关的工作亮点和特色做法，在系统内部营造人人学习先进，人人争当先进的浓厚氛围，树立全市医疗保障队伍的良好形象。</w:t>
      </w:r>
    </w:p>
    <w:p w14:paraId="78A2FC1D">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（五）其它宣传内容。</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发布日常医保工作动态；完成国家、省、市医保部门，市委政府等有关部门要求的其他宣传内容。</w:t>
      </w:r>
    </w:p>
    <w:p w14:paraId="5F523174">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黑体" w:hAnsi="黑体" w:eastAsia="黑体" w:cs="黑体"/>
          <w:i w:val="0"/>
          <w:iCs w:val="0"/>
          <w:caps w:val="0"/>
          <w:color w:val="auto"/>
          <w:spacing w:val="0"/>
          <w:kern w:val="0"/>
          <w:sz w:val="32"/>
          <w:szCs w:val="32"/>
          <w:shd w:val="clear" w:fill="FFFFFF"/>
          <w:lang w:val="en-US" w:eastAsia="zh-CN" w:bidi="ar"/>
        </w:rPr>
      </w:pPr>
      <w:r>
        <w:rPr>
          <w:rFonts w:hint="eastAsia" w:ascii="黑体" w:hAnsi="黑体" w:eastAsia="黑体" w:cs="黑体"/>
          <w:i w:val="0"/>
          <w:iCs w:val="0"/>
          <w:caps w:val="0"/>
          <w:color w:val="auto"/>
          <w:spacing w:val="0"/>
          <w:kern w:val="0"/>
          <w:sz w:val="32"/>
          <w:szCs w:val="32"/>
          <w:shd w:val="clear" w:fill="FFFFFF"/>
          <w:lang w:val="en-US" w:eastAsia="zh-CN" w:bidi="ar"/>
        </w:rPr>
        <w:t>四、宣传方式</w:t>
      </w:r>
    </w:p>
    <w:p w14:paraId="01A94FDD">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（一）开展宣传活动。</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坚持常态化宣传，以“医保基金监管集中宣传月”“参保缴费集中宣传月”“医保政策进基层”“社区双报到”“主题党日”等现有活动为载体，统筹制定活动计划，协同推进医保政策宣传活动。</w:t>
      </w:r>
    </w:p>
    <w:p w14:paraId="3DF7359D">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（二）拓宽宣传阵地。</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坚持一线工作法，推进宣传更贴近群众身边，加强与机关、社区、乡村、企业、医院、药店等有关单位协作，在各级医保经办服务窗口、便民超市、宣传广场设立宣传阵地，进一步扩大宣传效果。</w:t>
      </w:r>
    </w:p>
    <w:p w14:paraId="6D1CAEC8">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（三）创新宣传方式。</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用好新媒体宣传，在医保部门官网、微信公众号持续发布政策解读和业务办理指南，持续开展科长进直播间活动，积极参与短视频大赛等活动，实现医保政策全方位覆盖、全天候延伸、多领域拓展。</w:t>
      </w:r>
    </w:p>
    <w:p w14:paraId="7F1BE824">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（四）借助媒体力量。</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参加政风行风热线，召开新闻发布会，邀请当地主流媒体参与宣传活动，见证医保工作动态，推荐典型经验做法，展现医保部门良好工作形象。</w:t>
      </w:r>
    </w:p>
    <w:p w14:paraId="1265B3E5">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黑体" w:hAnsi="黑体" w:eastAsia="黑体" w:cs="黑体"/>
          <w:i w:val="0"/>
          <w:iCs w:val="0"/>
          <w:caps w:val="0"/>
          <w:color w:val="auto"/>
          <w:spacing w:val="0"/>
          <w:kern w:val="0"/>
          <w:sz w:val="32"/>
          <w:szCs w:val="32"/>
          <w:shd w:val="clear" w:fill="FFFFFF"/>
          <w:lang w:val="en-US" w:eastAsia="zh-CN" w:bidi="ar"/>
        </w:rPr>
      </w:pPr>
      <w:r>
        <w:rPr>
          <w:rFonts w:hint="eastAsia" w:ascii="黑体" w:hAnsi="黑体" w:eastAsia="黑体" w:cs="黑体"/>
          <w:i w:val="0"/>
          <w:iCs w:val="0"/>
          <w:caps w:val="0"/>
          <w:color w:val="auto"/>
          <w:spacing w:val="0"/>
          <w:kern w:val="0"/>
          <w:sz w:val="32"/>
          <w:szCs w:val="32"/>
          <w:shd w:val="clear" w:fill="FFFFFF"/>
          <w:lang w:val="en-US" w:eastAsia="zh-CN" w:bidi="ar"/>
        </w:rPr>
        <w:t>五、工作要求</w:t>
      </w:r>
    </w:p>
    <w:p w14:paraId="52C2F532">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（一）加强组织领导。</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从讲政治的高度谋划、推进，将宣传工作情况纳入全局差异化考核指标体系，局办公室牵头负责宣传活动的统筹实施，局及中心各科室要积极参与，确保宣传工作开展。</w:t>
      </w:r>
    </w:p>
    <w:p w14:paraId="7FEF4A43">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（二）加强信息报送。</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局及中心各科室、各镇街要安排专人负责日常宣传、信息报送工作，要梳理总结医保工作中</w:t>
      </w:r>
      <w:r>
        <w:rPr>
          <w:rFonts w:hint="eastAsia" w:ascii="仿宋_GB2312" w:hAnsi="仿宋_GB2312" w:eastAsia="仿宋_GB2312" w:cs="仿宋_GB2312"/>
          <w:i w:val="0"/>
          <w:iCs w:val="0"/>
          <w:caps w:val="0"/>
          <w:color w:val="auto"/>
          <w:spacing w:val="0"/>
          <w:sz w:val="32"/>
          <w:szCs w:val="32"/>
          <w:shd w:val="clear" w:fill="FFFFFF"/>
          <w:lang w:val="en-US" w:eastAsia="zh-CN"/>
        </w:rPr>
        <w:t>的好经验、好做法，及时编辑医保宣传信息报局办公室，择优向各类媒</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体推荐发布。</w:t>
      </w:r>
    </w:p>
    <w:p w14:paraId="35A0B347">
      <w:pPr>
        <w:pStyle w:val="2"/>
        <w:keepNext w:val="0"/>
        <w:keepLines w:val="0"/>
        <w:pageBreakBefore w:val="0"/>
        <w:widowControl/>
        <w:tabs>
          <w:tab w:val="right" w:leader="dot" w:pos="9060"/>
        </w:tabs>
        <w:kinsoku/>
        <w:wordWrap/>
        <w:overflowPunct/>
        <w:topLinePunct w:val="0"/>
        <w:autoSpaceDE/>
        <w:autoSpaceDN/>
        <w:bidi w:val="0"/>
        <w:adjustRightInd w:val="0"/>
        <w:snapToGrid w:val="0"/>
        <w:spacing w:after="0" w:line="60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i w:val="0"/>
          <w:iCs w:val="0"/>
          <w:caps w:val="0"/>
          <w:color w:val="auto"/>
          <w:spacing w:val="0"/>
          <w:kern w:val="0"/>
          <w:sz w:val="32"/>
          <w:szCs w:val="32"/>
          <w:shd w:val="clear" w:fill="FFFFFF"/>
          <w:lang w:val="en-US" w:eastAsia="zh-CN" w:bidi="ar"/>
        </w:rPr>
        <w:t>（三）加强督导考核。</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要把宣传工作落到实处，建立定期通报制度，每季度通报工作开展情况，对表现积极、宣传成效显著的的予以表扬，对工作应付、消极对待的予以批评。</w:t>
      </w:r>
    </w:p>
    <w:p w14:paraId="40E907C8">
      <w:pPr>
        <w:widowControl/>
        <w:wordWrap w:val="0"/>
        <w:spacing w:line="600" w:lineRule="exact"/>
        <w:jc w:val="center"/>
        <w:outlineLvl w:val="0"/>
        <w:rPr>
          <w:rFonts w:hint="eastAsia" w:ascii="方正小标宋简体" w:hAnsi="方正小标宋简体" w:eastAsia="方正小标宋简体" w:cs="方正小标宋简体"/>
          <w:sz w:val="44"/>
          <w:szCs w:val="44"/>
          <w:highlight w:val="none"/>
        </w:rPr>
      </w:pP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D848A">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DAA7D">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60288;mso-width-relative:page;mso-height-relative:page;" filled="f" stroked="f" coordsize="21600,21600" o:gfxdata="UEsDBAoAAAAAAIdO4kAAAAAAAAAAAAAAAAAEAAAAZHJzL1BLAwQUAAAACACHTuJAXaJ/59QAAAAI&#10;AQAADwAAAGRycy9kb3ducmV2LnhtbE2PwU7DMBBE70j8g7VI3Fo7BUEU4lSiIhyRaHrg6MZLEojX&#10;ke2m4e/ZnuD2VjOanSm3ixvFjCEOnjRkawUCqfV2oE7DoalXOYiYDFkzekINPxhhW11flaaw/kzv&#10;OO9TJziEYmE09ClNhZSx7dGZuPYTEmufPjiT+AydtMGcOdyNcqPUg3RmIP7Qmwl3Pbbf+5PTsKub&#10;JswYw/iBr/Xd19vzPb4sWt/eZOoJRMIl/ZnhUp+rQ8Wdjv5ENopRAw9JGlZZzsDyJr/AkeFRKZBV&#10;Kf8PqH4BUEsDBBQAAAAIAIdO4kC6jDgrMgIAAGEEAAAOAAAAZHJzL2Uyb0RvYy54bWytVM2O0zAQ&#10;viPxDpbvNGlZVlXVdFW2KkKq2JUWxNl1nCaS/2S7TcoDwBtw4sKd5+pz8NlpumjhsAcuztgz/sbf&#10;NzOZ33RKkoNwvjG6oONRTonQ3JSN3hX008f1qyklPjBdMmm0KOhReHqzePli3tqZmJjayFI4AhDt&#10;Z60taB2CnWWZ57VQzI+MFRrOyjjFArZul5WOtUBXMpvk+XXWGldaZ7jwHqer3knPiO45gKaqGi5W&#10;hu+V0KFHdUKyAEq+bqyni/TaqhI83FWVF4HIgoJpSCuSwN7GNVvM2WznmK0bfn4Ce84TnnBSrNFI&#10;eoFascDI3jV/QamGO+NNFUbcqKwnkhQBi3H+RJuHmlmRuEBqby+i+/8Hyz8c7h1pyoJeUaKZQsFP&#10;37+dfvw6/fxKrqI8rfUzRD1YxIXurenQNMO5x2Fk3VVOxS/4EPgh7vEirugC4fHSdDKd5nBx+IYN&#10;8LPH69b58E4YRaJRUIfqJVHZYeNDHzqExGzarBspUwWlJm1Br1+/ydOFiwfgUiNHJNE/Nlqh23Zn&#10;ZltTHkHMmb4zvOXrBsk3zId75tAKeDCGJdxhqaRBEnO2KKmN+/Kv8xiPCsFLSYvWKqjGJFEi32tU&#10;DoBhMNxgbAdD79WtQa+OMYSWJxMXXJCDWTmjPmOCljEHXExzZCpoGMzb0Lc3JpCL5TIF7a1rdnV/&#10;AX1nWdjoB8tjmiikt8t9gJhJ4yhQr8pZN3ReqtJ5SmJr/7lPUY9/hs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aJ/59QAAAAIAQAADwAAAAAAAAABACAAAAAiAAAAZHJzL2Rvd25yZXYueG1sUEsB&#10;AhQAFAAAAAgAh07iQLqMOCsyAgAAYQQAAA4AAAAAAAAAAQAgAAAAIwEAAGRycy9lMm9Eb2MueG1s&#10;UEsFBgAAAAAGAAYAWQEAAMcFAAAAAA==&#10;">
              <v:fill on="f" focussize="0,0"/>
              <v:stroke on="f" weight="0.5pt"/>
              <v:imagedata o:title=""/>
              <o:lock v:ext="edit" aspectratio="f"/>
              <v:textbox inset="0mm,0mm,0mm,0mm" style="mso-fit-shape-to-text:t;">
                <w:txbxContent>
                  <w:p w14:paraId="6DCDAA7D">
                    <w:pPr>
                      <w:pStyle w:val="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TIxOGE2OGMwZjM0N2E2Y2IwOGU4N2E0OTE0ODkifQ=="/>
  </w:docVars>
  <w:rsids>
    <w:rsidRoot w:val="34B93B2C"/>
    <w:rsid w:val="01664F6B"/>
    <w:rsid w:val="05031C1C"/>
    <w:rsid w:val="071C2305"/>
    <w:rsid w:val="08966CF8"/>
    <w:rsid w:val="09722ECD"/>
    <w:rsid w:val="0D591B83"/>
    <w:rsid w:val="15445F89"/>
    <w:rsid w:val="17AC1750"/>
    <w:rsid w:val="1CEF2D27"/>
    <w:rsid w:val="1D3056C6"/>
    <w:rsid w:val="1F59095F"/>
    <w:rsid w:val="1F8D5B01"/>
    <w:rsid w:val="224C31E9"/>
    <w:rsid w:val="248A0F22"/>
    <w:rsid w:val="27937BAD"/>
    <w:rsid w:val="28357978"/>
    <w:rsid w:val="298C1931"/>
    <w:rsid w:val="29DE3ED0"/>
    <w:rsid w:val="2ACA62AC"/>
    <w:rsid w:val="2E2C47ED"/>
    <w:rsid w:val="33086F79"/>
    <w:rsid w:val="34B93B2C"/>
    <w:rsid w:val="36986A6A"/>
    <w:rsid w:val="3801383D"/>
    <w:rsid w:val="39CF6C8D"/>
    <w:rsid w:val="39DA3FF3"/>
    <w:rsid w:val="3B391899"/>
    <w:rsid w:val="3C9C26F2"/>
    <w:rsid w:val="3DF80748"/>
    <w:rsid w:val="44EC107E"/>
    <w:rsid w:val="511A3EA9"/>
    <w:rsid w:val="54077030"/>
    <w:rsid w:val="549D32DC"/>
    <w:rsid w:val="570828D5"/>
    <w:rsid w:val="59DC4537"/>
    <w:rsid w:val="5F9A5E4E"/>
    <w:rsid w:val="62B43B30"/>
    <w:rsid w:val="641B2910"/>
    <w:rsid w:val="654303CA"/>
    <w:rsid w:val="6C1A5675"/>
    <w:rsid w:val="733E5398"/>
    <w:rsid w:val="7BFA7D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autoRedefine/>
    <w:unhideWhenUsed/>
    <w:qFormat/>
    <w:uiPriority w:val="99"/>
    <w:pPr>
      <w:snapToGrid w:val="0"/>
      <w:spacing w:line="640" w:lineRule="exact"/>
      <w:ind w:firstLine="705"/>
    </w:pPr>
    <w:rPr>
      <w:rFonts w:ascii="仿宋_GB2312" w:hAnsi="Times New Roman" w:eastAsia="仿宋_GB2312" w:cs="宋体"/>
      <w:color w:val="000000"/>
      <w:sz w:val="36"/>
      <w:szCs w:val="36"/>
    </w:rPr>
  </w:style>
  <w:style w:type="paragraph" w:styleId="3">
    <w:name w:val="Body Text"/>
    <w:basedOn w:val="1"/>
    <w:autoRedefine/>
    <w:qFormat/>
    <w:uiPriority w:val="99"/>
    <w:pPr>
      <w:spacing w:after="120"/>
    </w:pPr>
    <w:rPr>
      <w:szCs w:val="21"/>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1743</Words>
  <Characters>1763</Characters>
  <Lines>0</Lines>
  <Paragraphs>0</Paragraphs>
  <TotalTime>0</TotalTime>
  <ScaleCrop>false</ScaleCrop>
  <LinksUpToDate>false</LinksUpToDate>
  <CharactersWithSpaces>1824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2023-03-20T03:25:00Z</dcterms:created>
  <dc:creator>志存高远</dc:creator>
  <cp:lastModifiedBy>admin</cp:lastModifiedBy>
  <cp:lastPrinted>2024-04-22T09:36:00Z</cp:lastPrinted>
  <dcterms:modified xsi:type="dcterms:W3CDTF">2024-09-25T08:26:18Z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02EAFC77684A459783DA4BCDF9915A7A_13</vt:lpwstr>
  </property>
</Properties>
</file>